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13" w:rsidRDefault="00A56013" w:rsidP="003D6C48">
      <w:pPr>
        <w:jc w:val="center"/>
        <w:rPr>
          <w:rFonts w:ascii="Arial Black" w:hAnsi="Arial Black"/>
          <w:sz w:val="28"/>
        </w:rPr>
      </w:pPr>
    </w:p>
    <w:p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rsidR="003D6C48" w:rsidRDefault="003D6C48" w:rsidP="003D6C48">
      <w:pPr>
        <w:jc w:val="center"/>
        <w:rPr>
          <w:rFonts w:ascii="Arial Black" w:hAnsi="Arial Black"/>
          <w:sz w:val="28"/>
        </w:rPr>
      </w:pPr>
      <w:r>
        <w:rPr>
          <w:rFonts w:ascii="Arial Black" w:hAnsi="Arial Black"/>
          <w:sz w:val="28"/>
        </w:rPr>
        <w:t>FOR RELIGIOUS AND INDEPENDENT SCHOOLS</w:t>
      </w:r>
    </w:p>
    <w:p w:rsidR="003D6C48" w:rsidRDefault="003D6C48" w:rsidP="003D6C48">
      <w:pPr>
        <w:jc w:val="center"/>
        <w:rPr>
          <w:rFonts w:ascii="Arial Black" w:hAnsi="Arial Black"/>
          <w:sz w:val="28"/>
        </w:rPr>
      </w:pPr>
    </w:p>
    <w:p w:rsidR="003D6C48" w:rsidRDefault="003D6C48" w:rsidP="003D6C48">
      <w:pPr>
        <w:jc w:val="center"/>
        <w:rPr>
          <w:rFonts w:ascii="Arial Black" w:hAnsi="Arial Black"/>
          <w:sz w:val="32"/>
        </w:rPr>
      </w:pPr>
      <w:r w:rsidRPr="0023237A">
        <w:rPr>
          <w:rFonts w:ascii="Arial Black" w:hAnsi="Arial Black"/>
          <w:sz w:val="32"/>
        </w:rPr>
        <w:t>CHANGE OF ADDRESS</w:t>
      </w:r>
    </w:p>
    <w:p w:rsidR="003D6C48" w:rsidRPr="0023237A" w:rsidRDefault="003D6C48" w:rsidP="003D6C48">
      <w:pPr>
        <w:jc w:val="center"/>
        <w:rPr>
          <w:rFonts w:ascii="Arial Black" w:hAnsi="Arial Black"/>
          <w:sz w:val="32"/>
        </w:rPr>
      </w:pPr>
    </w:p>
    <w:p w:rsidR="003D6C48" w:rsidRPr="00F13AC8" w:rsidRDefault="003D6C48" w:rsidP="003D6C48">
      <w:pPr>
        <w:rPr>
          <w:rFonts w:ascii="Arial Black" w:hAnsi="Arial Black"/>
          <w:u w:val="single"/>
        </w:rPr>
      </w:pPr>
      <w:r w:rsidRPr="00F13AC8">
        <w:rPr>
          <w:rFonts w:ascii="Arial Black" w:hAnsi="Arial Black"/>
          <w:u w:val="single"/>
        </w:rPr>
        <w:t>Instructions</w:t>
      </w:r>
    </w:p>
    <w:p w:rsidR="003D6C48" w:rsidRPr="00BD1A1A" w:rsidRDefault="003D6C48" w:rsidP="003D6C48">
      <w:pPr>
        <w:rPr>
          <w:rFonts w:ascii="Arial" w:hAnsi="Arial"/>
          <w:sz w:val="22"/>
        </w:rPr>
      </w:pPr>
      <w:r>
        <w:rPr>
          <w:rFonts w:ascii="Arial" w:hAnsi="Arial" w:cs="Arial"/>
          <w:sz w:val="22"/>
        </w:rPr>
        <w:t xml:space="preserve">Submit the following documents to: </w:t>
      </w:r>
      <w:r>
        <w:rPr>
          <w:rFonts w:ascii="Arial" w:hAnsi="Arial" w:cs="Arial"/>
          <w:sz w:val="22"/>
        </w:rPr>
        <w:tab/>
      </w:r>
      <w:r w:rsidRPr="00BD1A1A">
        <w:rPr>
          <w:rFonts w:ascii="Arial" w:hAnsi="Arial"/>
          <w:sz w:val="22"/>
        </w:rPr>
        <w:t>New York State Education Department</w:t>
      </w:r>
    </w:p>
    <w:p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xml:space="preserve">, Room </w:t>
      </w:r>
      <w:r w:rsidR="00F400D5">
        <w:rPr>
          <w:rFonts w:ascii="Arial" w:hAnsi="Arial" w:cs="Arial"/>
          <w:sz w:val="22"/>
        </w:rPr>
        <w:t>1074</w:t>
      </w:r>
      <w:r>
        <w:rPr>
          <w:rFonts w:ascii="Arial" w:hAnsi="Arial" w:cs="Arial"/>
          <w:sz w:val="22"/>
        </w:rPr>
        <w:t xml:space="preserve"> EBA</w:t>
      </w:r>
    </w:p>
    <w:p w:rsidR="003D6C48" w:rsidRPr="00BD1A1A" w:rsidRDefault="003D6C48" w:rsidP="003D6C48">
      <w:pPr>
        <w:ind w:left="2880" w:firstLine="720"/>
        <w:rPr>
          <w:rFonts w:ascii="Arial" w:hAnsi="Arial"/>
          <w:sz w:val="22"/>
        </w:rPr>
      </w:pPr>
      <w:r w:rsidRPr="00BD1A1A">
        <w:rPr>
          <w:rFonts w:ascii="Arial" w:hAnsi="Arial"/>
          <w:sz w:val="22"/>
        </w:rPr>
        <w:t>Albany, New York 12234</w:t>
      </w:r>
    </w:p>
    <w:p w:rsidR="003D6C48" w:rsidRDefault="003D6C48" w:rsidP="003D6C48">
      <w:pPr>
        <w:rPr>
          <w:rFonts w:ascii="Arial" w:hAnsi="Arial" w:cs="Arial"/>
          <w:sz w:val="22"/>
        </w:rPr>
      </w:pPr>
    </w:p>
    <w:p w:rsidR="003D6C48" w:rsidRDefault="00F400D5"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t>The attached application, completed and signed;</w:t>
      </w:r>
    </w:p>
    <w:p w:rsidR="003D6C48" w:rsidRPr="0042091E" w:rsidRDefault="00F400D5"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p>
    <w:p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rsidR="003D6C48" w:rsidRPr="0023338D" w:rsidRDefault="00F400D5"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fire inspection for the site(s) indicated on page 1 of the application, dated within the past 12 months;</w:t>
      </w:r>
    </w:p>
    <w:p w:rsidR="003D6C48" w:rsidRPr="0042091E" w:rsidRDefault="003D6C48" w:rsidP="003D6C48">
      <w:pPr>
        <w:pStyle w:val="ListParagraph"/>
        <w:numPr>
          <w:ilvl w:val="0"/>
          <w:numId w:val="21"/>
        </w:numPr>
        <w:ind w:left="720"/>
        <w:rPr>
          <w:rFonts w:ascii="Arial" w:hAnsi="Arial" w:cs="Arial"/>
          <w:sz w:val="22"/>
          <w:szCs w:val="28"/>
        </w:rPr>
      </w:pPr>
      <w:bookmarkStart w:id="0"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p>
    <w:bookmarkEnd w:id="0"/>
    <w:p w:rsidR="003D6C48" w:rsidRPr="0042091E" w:rsidRDefault="003D6C48" w:rsidP="003D6C48">
      <w:pPr>
        <w:pStyle w:val="ListParagraph"/>
        <w:numPr>
          <w:ilvl w:val="0"/>
          <w:numId w:val="21"/>
        </w:numPr>
        <w:ind w:left="720"/>
        <w:rPr>
          <w:rFonts w:ascii="Arial" w:hAnsi="Arial" w:cs="Arial"/>
          <w:sz w:val="22"/>
          <w:szCs w:val="28"/>
        </w:rPr>
      </w:pPr>
      <w:r w:rsidRPr="0023338D">
        <w:rPr>
          <w:rFonts w:ascii="Arial" w:hAnsi="Arial"/>
          <w:sz w:val="22"/>
        </w:rPr>
        <w:t>Schools located in New York City may submit Form A-106 from the FDNY</w:t>
      </w:r>
      <w:r>
        <w:rPr>
          <w:rFonts w:ascii="Arial" w:hAnsi="Arial" w:cs="Arial"/>
          <w:sz w:val="22"/>
          <w:szCs w:val="28"/>
        </w:rPr>
        <w:t xml:space="preserve">; requests may be made at </w:t>
      </w:r>
      <w:hyperlink r:id="rId8" w:history="1">
        <w:r w:rsidRPr="0042091E">
          <w:rPr>
            <w:rStyle w:val="Hyperlink"/>
            <w:rFonts w:ascii="Arial" w:hAnsi="Arial" w:cs="Arial"/>
            <w:sz w:val="22"/>
            <w:szCs w:val="28"/>
          </w:rPr>
          <w:t>https://www1.nyc.gov/assets/fdny/downloads/pdf/business/public-buildings-web-inspection-request.pdf</w:t>
        </w:r>
      </w:hyperlink>
      <w:r>
        <w:rPr>
          <w:rFonts w:ascii="Arial" w:hAnsi="Arial" w:cs="Arial"/>
          <w:sz w:val="22"/>
          <w:szCs w:val="28"/>
        </w:rPr>
        <w:t xml:space="preserve">. </w:t>
      </w:r>
    </w:p>
    <w:p w:rsidR="003D6C48" w:rsidRDefault="00F400D5"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rsidR="003D6C48" w:rsidRDefault="003D6C48" w:rsidP="003D6C48">
      <w:pPr>
        <w:rPr>
          <w:rFonts w:ascii="Arial" w:hAnsi="Arial"/>
          <w:sz w:val="22"/>
        </w:rPr>
      </w:pPr>
      <w:r>
        <w:rPr>
          <w:rFonts w:ascii="Arial" w:hAnsi="Arial"/>
          <w:sz w:val="22"/>
        </w:rPr>
        <w:br w:type="page"/>
      </w:r>
    </w:p>
    <w:p w:rsidR="00A56013" w:rsidRDefault="00A56013" w:rsidP="003D6C48">
      <w:pPr>
        <w:jc w:val="center"/>
        <w:rPr>
          <w:rFonts w:ascii="Arial" w:hAnsi="Arial" w:cs="Arial"/>
          <w:b/>
          <w:sz w:val="28"/>
        </w:rPr>
      </w:pPr>
      <w:bookmarkStart w:id="1" w:name="_Hlk9499351"/>
    </w:p>
    <w:p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1"/>
    </w:p>
    <w:p w:rsidR="003D6C48" w:rsidRDefault="003D6C48" w:rsidP="003D6C48">
      <w:pPr>
        <w:jc w:val="center"/>
        <w:rPr>
          <w:rFonts w:ascii="Arial" w:hAnsi="Arial" w:cs="Arial"/>
          <w:sz w:val="28"/>
        </w:rPr>
      </w:pPr>
    </w:p>
    <w:p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AB0ADF0" wp14:editId="070D7F9F">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2C6A"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Current Address (location listed in BEDS):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F400D5" w:rsidRPr="003F375A">
        <w:rPr>
          <w:rFonts w:ascii="Arial" w:hAnsi="Arial" w:cs="Arial"/>
          <w:sz w:val="20"/>
          <w:szCs w:val="20"/>
        </w:rPr>
        <w:t>1: _</w:t>
      </w:r>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F400D5" w:rsidRPr="003F375A">
        <w:rPr>
          <w:rFonts w:ascii="Arial" w:hAnsi="Arial" w:cs="Arial"/>
          <w:sz w:val="20"/>
          <w:szCs w:val="20"/>
        </w:rPr>
        <w:t>2: _</w:t>
      </w:r>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F400D5"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proofErr w:type="gramStart"/>
      <w:r w:rsidR="003D6C48" w:rsidRPr="003F375A">
        <w:rPr>
          <w:rFonts w:ascii="Arial" w:hAnsi="Arial" w:cs="Arial"/>
          <w:sz w:val="20"/>
          <w:szCs w:val="20"/>
        </w:rPr>
        <w:t>State:_</w:t>
      </w:r>
      <w:proofErr w:type="gramEnd"/>
      <w:r w:rsidR="003D6C48" w:rsidRPr="003F375A">
        <w:rPr>
          <w:rFonts w:ascii="Arial" w:hAnsi="Arial" w:cs="Arial"/>
          <w:sz w:val="20"/>
          <w:szCs w:val="20"/>
        </w:rPr>
        <w:t>_________</w:t>
      </w:r>
      <w:r w:rsidR="003D6C48"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BE5A96A" wp14:editId="24A11942">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A0A"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PNUsKLeAAAA&#10;CgEAAA8AAABkcnMvZG93bnJldi54bWxMj8FOwzAQRO9I/IO1SNxah4SgEuJUAdFrJQpSy81NFjtq&#10;vI5itwl/z3KC42qeZt+U69n14oJj6DwpuFsmIJAa33ZkFHy8bxYrECFqanXvCRV8Y4B1dX1V6qL1&#10;E73hZReN4BIKhVZgYxwKKUNj0emw9AMSZ19+dDryORrZjnrictfLNEkepNMd8QerB3yx2Jx2Z6fg&#10;dfjc1rkJst5Hezj552ljt0ap25u5fgIRcY5/MPzqszpU7HT0Z2qD6BUs0lXOKAdZBoKBx/yexx0V&#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DzVLCi3gAAAAoBAAAP&#10;AAAAAAAAAAAAAAAAAAkFAABkcnMvZG93bnJldi54bWxQSwUGAAAAAAQABADzAAAAFAY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F400D5" w:rsidRPr="003F375A">
        <w:rPr>
          <w:rFonts w:ascii="Arial" w:hAnsi="Arial" w:cs="Arial"/>
          <w:sz w:val="20"/>
          <w:szCs w:val="20"/>
        </w:rPr>
        <w:t>1: _</w:t>
      </w:r>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F400D5" w:rsidRPr="003F375A">
        <w:rPr>
          <w:rFonts w:ascii="Arial" w:hAnsi="Arial" w:cs="Arial"/>
          <w:sz w:val="20"/>
          <w:szCs w:val="20"/>
        </w:rPr>
        <w:t>2: _</w:t>
      </w:r>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F400D5" w:rsidP="003D6C48">
      <w:pPr>
        <w:rPr>
          <w:rFonts w:ascii="Arial" w:hAnsi="Arial" w:cs="Arial"/>
          <w:sz w:val="20"/>
          <w:szCs w:val="20"/>
        </w:rPr>
      </w:pPr>
      <w:r w:rsidRPr="003F375A">
        <w:rPr>
          <w:rFonts w:ascii="Arial" w:hAnsi="Arial" w:cs="Arial"/>
          <w:sz w:val="20"/>
          <w:szCs w:val="20"/>
        </w:rPr>
        <w:t>City: _</w:t>
      </w:r>
      <w:bookmarkStart w:id="2" w:name="_GoBack"/>
      <w:bookmarkEnd w:id="2"/>
      <w:r w:rsidR="003D6C48" w:rsidRPr="003F375A">
        <w:rPr>
          <w:rFonts w:ascii="Arial" w:hAnsi="Arial" w:cs="Arial"/>
          <w:sz w:val="20"/>
          <w:szCs w:val="20"/>
        </w:rPr>
        <w:t>________________________</w:t>
      </w:r>
      <w:r w:rsidR="003D6C48" w:rsidRPr="003F375A">
        <w:rPr>
          <w:rFonts w:ascii="Arial" w:hAnsi="Arial" w:cs="Arial"/>
          <w:sz w:val="20"/>
          <w:szCs w:val="20"/>
        </w:rPr>
        <w:tab/>
        <w:t>State:__________</w:t>
      </w:r>
      <w:r w:rsidR="003D6C48"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Type of Incorporation:</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Education Corporation (Provisional or Absolute Charter)</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For-Profit Incorporation under the NYS Dep</w:t>
      </w:r>
      <w:r>
        <w:rPr>
          <w:rFonts w:ascii="Arial" w:hAnsi="Arial" w:cs="Arial"/>
          <w:sz w:val="20"/>
          <w:szCs w:val="20"/>
        </w:rPr>
        <w:t xml:space="preserve">artment of State (LLC, BCL, Inc., </w:t>
      </w:r>
      <w:r w:rsidRPr="003F375A">
        <w:rPr>
          <w:rFonts w:ascii="Arial" w:hAnsi="Arial" w:cs="Arial"/>
          <w:sz w:val="20"/>
          <w:szCs w:val="20"/>
        </w:rPr>
        <w:t>etc.)</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Religious Incorporation under the County Clerk (affiliation with Place of Worship)</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Other? Please define________________________________________________</w:t>
      </w:r>
    </w:p>
    <w:p w:rsidR="003D6C48" w:rsidRPr="003F375A" w:rsidRDefault="003D6C48" w:rsidP="003D6C48">
      <w:pPr>
        <w:rPr>
          <w:rFonts w:ascii="Arial" w:hAnsi="Arial" w:cs="Arial"/>
          <w:sz w:val="20"/>
          <w:szCs w:val="20"/>
        </w:rPr>
      </w:pPr>
    </w:p>
    <w:p w:rsidR="003D6C48" w:rsidRDefault="003D6C48" w:rsidP="003D6C48">
      <w:pPr>
        <w:rPr>
          <w:rFonts w:ascii="Arial" w:hAnsi="Arial" w:cs="Arial"/>
          <w:sz w:val="20"/>
          <w:szCs w:val="20"/>
        </w:rPr>
      </w:pPr>
    </w:p>
    <w:p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rsidR="003D6C48" w:rsidRPr="003F375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rsidR="003D6C48" w:rsidRPr="0023237A" w:rsidRDefault="003D6C48" w:rsidP="003D6C48">
      <w:pPr>
        <w:rPr>
          <w:rFonts w:ascii="Arial" w:hAnsi="Arial" w:cs="Arial"/>
          <w:sz w:val="20"/>
          <w:szCs w:val="20"/>
        </w:rPr>
      </w:pPr>
    </w:p>
    <w:p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rsidR="00FD1E38" w:rsidRDefault="00FD1E38" w:rsidP="00C2345E">
      <w:pPr>
        <w:tabs>
          <w:tab w:val="left" w:pos="7016"/>
        </w:tabs>
        <w:rPr>
          <w:rFonts w:ascii="Arial Black" w:hAnsi="Arial Black"/>
          <w:sz w:val="22"/>
          <w:szCs w:val="22"/>
        </w:rPr>
        <w:sectPr w:rsidR="00FD1E38" w:rsidSect="003D6C48">
          <w:footerReference w:type="even" r:id="rId9"/>
          <w:pgSz w:w="12240" w:h="15840"/>
          <w:pgMar w:top="547" w:right="1440" w:bottom="1267" w:left="1440" w:header="720" w:footer="720" w:gutter="0"/>
          <w:cols w:space="720"/>
          <w:docGrid w:linePitch="360"/>
        </w:sectPr>
      </w:pPr>
    </w:p>
    <w:p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rsidR="00A51494" w:rsidRPr="00DF6362" w:rsidRDefault="00A51494" w:rsidP="000161F2">
      <w:pP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rsidR="00A51494" w:rsidRPr="00B22F8F" w:rsidRDefault="00A51494" w:rsidP="000161F2">
      <w:pPr>
        <w:jc w:val="cente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rsidR="00A51494" w:rsidRDefault="00A51494" w:rsidP="000161F2">
      <w:pPr>
        <w:rPr>
          <w:rFonts w:ascii="Arial" w:hAnsi="Arial" w:cs="Arial"/>
          <w:b/>
          <w:sz w:val="22"/>
          <w:szCs w:val="22"/>
          <w:u w:val="single"/>
        </w:rPr>
      </w:pPr>
      <w:r>
        <w:rPr>
          <w:rFonts w:ascii="Arial" w:hAnsi="Arial" w:cs="Arial"/>
          <w:b/>
          <w:sz w:val="22"/>
          <w:szCs w:val="22"/>
          <w:u w:val="single"/>
        </w:rPr>
        <w:br/>
      </w:r>
    </w:p>
    <w:p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A51494" w:rsidRDefault="00A51494" w:rsidP="000161F2">
      <w:pPr>
        <w:pStyle w:val="ListParagraph"/>
        <w:ind w:left="360"/>
        <w:rPr>
          <w:rFonts w:ascii="Arial" w:hAnsi="Arial" w:cs="Arial"/>
          <w:sz w:val="22"/>
          <w:szCs w:val="22"/>
        </w:rPr>
      </w:pPr>
    </w:p>
    <w:p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3"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3"/>
      <w:r>
        <w:rPr>
          <w:rFonts w:ascii="Arial" w:hAnsi="Arial" w:cs="Arial"/>
          <w:sz w:val="22"/>
          <w:szCs w:val="22"/>
        </w:rPr>
        <w:t xml:space="preserve"> report to be filed as per NYS Education Law Section 807-a. (Please visit </w:t>
      </w:r>
      <w:hyperlink r:id="rId10"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rsidR="00A51494" w:rsidRPr="002D68EE" w:rsidRDefault="00A51494" w:rsidP="000161F2">
      <w:pPr>
        <w:pStyle w:val="ListParagraph"/>
        <w:ind w:left="360"/>
        <w:rPr>
          <w:rFonts w:ascii="Arial" w:hAnsi="Arial" w:cs="Arial"/>
          <w:sz w:val="22"/>
          <w:szCs w:val="22"/>
        </w:rPr>
      </w:pPr>
    </w:p>
    <w:p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rsidR="00A51494" w:rsidRPr="006D0943"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A51494" w:rsidRPr="00042445" w:rsidRDefault="00A51494" w:rsidP="000161F2">
      <w:pPr>
        <w:pStyle w:val="ListParagraph"/>
        <w:rPr>
          <w:rFonts w:ascii="Arial" w:hAnsi="Arial" w:cs="Arial"/>
          <w:sz w:val="22"/>
          <w:szCs w:val="22"/>
        </w:rPr>
      </w:pPr>
    </w:p>
    <w:p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rsidR="00A51494"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sectPr w:rsidR="00A51494" w:rsidSect="00BD1A1A">
          <w:footerReference w:type="default" r:id="rId11"/>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rsidR="00A51494" w:rsidRDefault="00A51494" w:rsidP="00A51494">
      <w:pPr>
        <w:pStyle w:val="ListParagraph"/>
        <w:ind w:left="360"/>
        <w:rPr>
          <w:rFonts w:ascii="Arial" w:hAnsi="Arial" w:cs="Arial"/>
          <w:sz w:val="22"/>
          <w:szCs w:val="22"/>
        </w:rPr>
      </w:pPr>
    </w:p>
    <w:p w:rsidR="00A51494" w:rsidRDefault="00A51494" w:rsidP="00A51494">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rsidTr="000161F2">
        <w:trPr>
          <w:trHeight w:val="383"/>
        </w:trPr>
        <w:tc>
          <w:tcPr>
            <w:tcW w:w="4198" w:type="dxa"/>
          </w:tcPr>
          <w:p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rsidR="00A51494" w:rsidRPr="008421B3" w:rsidRDefault="00A51494" w:rsidP="000161F2">
            <w:pPr>
              <w:pStyle w:val="ListParagraph"/>
              <w:ind w:left="360"/>
              <w:rPr>
                <w:rFonts w:ascii="Arial" w:hAnsi="Arial" w:cs="Arial"/>
                <w:sz w:val="22"/>
                <w:szCs w:val="22"/>
              </w:rPr>
            </w:pPr>
          </w:p>
        </w:tc>
        <w:tc>
          <w:tcPr>
            <w:tcW w:w="855" w:type="dxa"/>
          </w:tcPr>
          <w:p w:rsidR="00A51494" w:rsidRPr="008421B3" w:rsidRDefault="00A51494" w:rsidP="000161F2">
            <w:pPr>
              <w:rPr>
                <w:rFonts w:ascii="Arial" w:hAnsi="Arial" w:cs="Arial"/>
                <w:sz w:val="22"/>
                <w:szCs w:val="22"/>
              </w:rPr>
            </w:pPr>
          </w:p>
        </w:tc>
        <w:tc>
          <w:tcPr>
            <w:tcW w:w="4505" w:type="dxa"/>
          </w:tcPr>
          <w:p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A51494" w:rsidRPr="008421B3" w:rsidRDefault="00A51494" w:rsidP="000161F2">
            <w:pPr>
              <w:pStyle w:val="ListParagraph"/>
              <w:ind w:left="0"/>
              <w:rPr>
                <w:rFonts w:ascii="Arial" w:hAnsi="Arial" w:cs="Arial"/>
                <w:sz w:val="22"/>
                <w:szCs w:val="22"/>
              </w:rPr>
            </w:pPr>
          </w:p>
        </w:tc>
      </w:tr>
    </w:tbl>
    <w:p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rsidTr="000161F2">
        <w:tc>
          <w:tcPr>
            <w:tcW w:w="6660" w:type="dxa"/>
            <w:shd w:val="clear" w:color="auto" w:fill="D9D9D9" w:themeFill="background1" w:themeFillShade="D9"/>
          </w:tcPr>
          <w:p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rsidR="00A51494" w:rsidRPr="00F47311" w:rsidRDefault="00A51494" w:rsidP="000161F2">
            <w:pPr>
              <w:pStyle w:val="ListParagraph"/>
              <w:tabs>
                <w:tab w:val="left" w:pos="1680"/>
                <w:tab w:val="center" w:pos="3222"/>
              </w:tabs>
              <w:ind w:left="0"/>
              <w:rPr>
                <w:rFonts w:ascii="Arial" w:hAnsi="Arial" w:cs="Arial"/>
                <w:b/>
                <w:sz w:val="22"/>
                <w:szCs w:val="22"/>
              </w:rPr>
            </w:pPr>
          </w:p>
        </w:tc>
      </w:tr>
    </w:tbl>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rPr>
          <w:rFonts w:ascii="Arial" w:hAnsi="Arial" w:cs="Arial"/>
          <w:sz w:val="22"/>
          <w:szCs w:val="22"/>
        </w:rPr>
      </w:pPr>
    </w:p>
    <w:p w:rsidR="00A51494" w:rsidRPr="007C4E44" w:rsidRDefault="00A51494" w:rsidP="000161F2">
      <w:pPr>
        <w:pStyle w:val="ListParagraph"/>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A51494" w:rsidRDefault="00A51494" w:rsidP="000161F2">
      <w:pPr>
        <w:pStyle w:val="ListParagraph"/>
        <w:ind w:left="360"/>
        <w:rPr>
          <w:rFonts w:ascii="Arial" w:hAnsi="Arial" w:cs="Arial"/>
          <w:sz w:val="22"/>
          <w:szCs w:val="22"/>
        </w:rPr>
      </w:pPr>
    </w:p>
    <w:p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A51494" w:rsidRPr="00ED04F8"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ind w:left="720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rsidR="00A51494" w:rsidRDefault="00A51494" w:rsidP="000161F2">
      <w:pPr>
        <w:ind w:left="7200"/>
        <w:rPr>
          <w:rFonts w:ascii="Arial" w:hAnsi="Arial" w:cs="Arial"/>
          <w:sz w:val="22"/>
          <w:szCs w:val="22"/>
        </w:rPr>
      </w:pP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A51494" w:rsidRDefault="00A51494" w:rsidP="000161F2">
      <w:pPr>
        <w:pStyle w:val="ListParagraph"/>
        <w:ind w:left="360"/>
        <w:rPr>
          <w:rFonts w:ascii="Arial" w:hAnsi="Arial" w:cs="Arial"/>
          <w:sz w:val="22"/>
          <w:szCs w:val="22"/>
        </w:rPr>
      </w:pPr>
    </w:p>
    <w:p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r>
              <w:rPr>
                <w:rFonts w:ascii="Arial" w:hAnsi="Arial" w:cs="Arial"/>
                <w:sz w:val="22"/>
                <w:szCs w:val="22"/>
              </w:rPr>
              <w:t xml:space="preserve"> </w:t>
            </w: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1080"/>
        <w:rPr>
          <w:rFonts w:ascii="Arial" w:hAnsi="Arial" w:cs="Arial"/>
          <w:sz w:val="22"/>
          <w:szCs w:val="22"/>
        </w:rPr>
      </w:pPr>
    </w:p>
    <w:p w:rsidR="00A51494" w:rsidRDefault="00A51494">
      <w:pPr>
        <w:rPr>
          <w:rFonts w:ascii="Arial" w:hAnsi="Arial" w:cs="Arial"/>
          <w:sz w:val="22"/>
          <w:szCs w:val="22"/>
        </w:rPr>
      </w:pPr>
      <w:r>
        <w:rPr>
          <w:rFonts w:ascii="Arial" w:hAnsi="Arial" w:cs="Arial"/>
          <w:sz w:val="22"/>
          <w:szCs w:val="22"/>
        </w:rPr>
        <w:br w:type="page"/>
      </w:r>
    </w:p>
    <w:p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rsidR="00A51494" w:rsidRDefault="00A51494" w:rsidP="000161F2">
      <w:pPr>
        <w:pStyle w:val="ListParagraph"/>
        <w:jc w:val="center"/>
        <w:rPr>
          <w:rFonts w:ascii="Arial" w:hAnsi="Arial" w:cs="Arial"/>
          <w:b/>
          <w:sz w:val="22"/>
          <w:szCs w:val="22"/>
          <w:u w:val="single"/>
        </w:rPr>
      </w:pPr>
    </w:p>
    <w:p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A51494" w:rsidRDefault="00A51494" w:rsidP="000161F2">
      <w:pPr>
        <w:pStyle w:val="ListParagraph"/>
        <w:rPr>
          <w:rFonts w:ascii="Arial" w:hAnsi="Arial" w:cs="Arial"/>
          <w:sz w:val="22"/>
          <w:szCs w:val="22"/>
        </w:rPr>
      </w:pPr>
    </w:p>
    <w:p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rsidTr="000161F2">
        <w:tc>
          <w:tcPr>
            <w:tcW w:w="558" w:type="dxa"/>
            <w:vMerge w:val="restart"/>
            <w:shd w:val="pct12" w:color="auto" w:fill="FFFFFF" w:themeFill="background1"/>
          </w:tcPr>
          <w:p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rsidTr="000161F2">
        <w:trPr>
          <w:cantSplit/>
          <w:trHeight w:val="1277"/>
        </w:trPr>
        <w:tc>
          <w:tcPr>
            <w:tcW w:w="558" w:type="dxa"/>
            <w:vMerge/>
            <w:shd w:val="pct12" w:color="auto" w:fill="FFFFFF" w:themeFill="background1"/>
            <w:textDirection w:val="btLr"/>
          </w:tcPr>
          <w:p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62"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45"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671" w:type="dxa"/>
            <w:vMerge w:val="restart"/>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A51494" w:rsidRPr="00547C52" w:rsidRDefault="00A51494" w:rsidP="000161F2">
            <w:pPr>
              <w:pStyle w:val="ListParagraph"/>
              <w:ind w:left="0"/>
              <w:rPr>
                <w:rFonts w:ascii="Arial Narrow" w:hAnsi="Arial Narrow" w:cs="Arial"/>
                <w:sz w:val="20"/>
                <w:szCs w:val="20"/>
              </w:rPr>
            </w:pP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rPr>
          <w:trHeight w:val="58"/>
        </w:trPr>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tcPr>
          <w:p w:rsidR="00A51494"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671" w:type="dxa"/>
            <w:vMerge/>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tcPr>
          <w:p w:rsidR="00A51494" w:rsidRDefault="00A51494" w:rsidP="000161F2">
            <w:pPr>
              <w:pStyle w:val="ListParagraph"/>
              <w:ind w:left="0"/>
              <w:rPr>
                <w:rFonts w:ascii="Arial Narrow" w:hAnsi="Arial Narrow" w:cs="Arial"/>
                <w:sz w:val="20"/>
                <w:szCs w:val="20"/>
              </w:rPr>
            </w:pPr>
          </w:p>
        </w:tc>
        <w:tc>
          <w:tcPr>
            <w:tcW w:w="624" w:type="dxa"/>
            <w:vMerge/>
          </w:tcPr>
          <w:p w:rsidR="00A51494" w:rsidRPr="00547C52"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p>
          <w:p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bl>
    <w:p w:rsidR="00A51494" w:rsidRPr="007C4E44" w:rsidRDefault="00A51494" w:rsidP="000161F2">
      <w:pPr>
        <w:pStyle w:val="ListParagraph"/>
        <w:rPr>
          <w:rFonts w:ascii="Arial" w:hAnsi="Arial" w:cs="Arial"/>
          <w:sz w:val="22"/>
          <w:szCs w:val="22"/>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rsidR="00A51494" w:rsidRDefault="00A51494" w:rsidP="000161F2">
      <w:pPr>
        <w:rPr>
          <w:rFonts w:ascii="Arial Narrow" w:hAnsi="Arial Narrow" w:cs="Arial"/>
          <w:sz w:val="20"/>
          <w:szCs w:val="20"/>
        </w:rPr>
      </w:pPr>
    </w:p>
    <w:p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rsidR="00A51494" w:rsidRDefault="00A51494" w:rsidP="000161F2">
      <w:pPr>
        <w:rPr>
          <w:rFonts w:ascii="Arial Narrow" w:hAnsi="Arial Narrow" w:cs="Arial"/>
          <w:sz w:val="20"/>
          <w:szCs w:val="20"/>
        </w:rPr>
      </w:pPr>
    </w:p>
    <w:p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rsidR="00A51494" w:rsidRDefault="00A51494" w:rsidP="000161F2">
      <w:pPr>
        <w:jc w:val="both"/>
        <w:rPr>
          <w:rFonts w:ascii="Arial Narrow" w:hAnsi="Arial Narrow" w:cs="Arial"/>
          <w:sz w:val="20"/>
          <w:szCs w:val="20"/>
        </w:rPr>
      </w:pPr>
    </w:p>
    <w:p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rsidTr="000161F2">
        <w:trPr>
          <w:trHeight w:val="198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A51494" w:rsidRDefault="00A51494" w:rsidP="000161F2">
            <w:pPr>
              <w:pStyle w:val="ListParagraph"/>
              <w:ind w:left="0"/>
              <w:rPr>
                <w:rFonts w:ascii="Arial" w:hAnsi="Arial" w:cs="Arial"/>
                <w:sz w:val="22"/>
                <w:szCs w:val="22"/>
              </w:rPr>
            </w:pPr>
          </w:p>
          <w:p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A51494" w:rsidRPr="00A629C6"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rsidR="00A51494" w:rsidRDefault="00A51494" w:rsidP="000161F2">
            <w:pPr>
              <w:pStyle w:val="ListParagraph"/>
              <w:ind w:left="0"/>
              <w:rPr>
                <w:rFonts w:ascii="Arial" w:hAnsi="Arial" w:cs="Arial"/>
                <w:sz w:val="22"/>
                <w:szCs w:val="22"/>
              </w:rPr>
            </w:pPr>
          </w:p>
          <w:p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rsidTr="000161F2">
        <w:trPr>
          <w:trHeight w:val="132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A51494" w:rsidRPr="005D12E2"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rsidR="00A51494" w:rsidRDefault="00A51494" w:rsidP="000161F2">
            <w:pPr>
              <w:pStyle w:val="ListParagraph"/>
              <w:ind w:left="0"/>
              <w:rPr>
                <w:rFonts w:ascii="Arial" w:hAnsi="Arial" w:cs="Arial"/>
                <w:sz w:val="22"/>
                <w:szCs w:val="22"/>
                <w:u w:val="single"/>
              </w:rPr>
            </w:pPr>
          </w:p>
          <w:p w:rsidR="00A51494" w:rsidRDefault="00A51494" w:rsidP="000161F2">
            <w:pPr>
              <w:pStyle w:val="ListParagraph"/>
              <w:ind w:left="0"/>
              <w:rPr>
                <w:rFonts w:ascii="Arial Narrow" w:hAnsi="Arial Narrow" w:cs="Arial"/>
                <w:sz w:val="20"/>
                <w:szCs w:val="20"/>
              </w:rPr>
            </w:pPr>
          </w:p>
        </w:tc>
      </w:tr>
      <w:tr w:rsidR="00A51494" w:rsidTr="000161F2">
        <w:trPr>
          <w:trHeight w:val="3840"/>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A51494" w:rsidRDefault="00A51494" w:rsidP="000161F2">
            <w:pPr>
              <w:pStyle w:val="ListParagraph"/>
              <w:ind w:left="0"/>
              <w:rPr>
                <w:rFonts w:ascii="Arial" w:hAnsi="Arial" w:cs="Arial"/>
                <w:sz w:val="22"/>
                <w:szCs w:val="22"/>
              </w:rPr>
            </w:pPr>
          </w:p>
          <w:p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rsidR="00A51494" w:rsidRPr="00154B86" w:rsidRDefault="00A51494" w:rsidP="000161F2">
      <w:pPr>
        <w:jc w:val="both"/>
        <w:rPr>
          <w:rFonts w:ascii="Arial" w:hAnsi="Arial" w:cs="Arial"/>
          <w:sz w:val="22"/>
          <w:szCs w:val="20"/>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sz w:val="28"/>
          <w:szCs w:val="28"/>
          <w:u w:val="single"/>
        </w:rPr>
      </w:pPr>
    </w:p>
    <w:p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rsidR="00A51494" w:rsidRPr="00154B86" w:rsidRDefault="00A51494" w:rsidP="000161F2">
      <w:pPr>
        <w:jc w:val="center"/>
        <w:rPr>
          <w:rFonts w:ascii="Arial" w:hAnsi="Arial" w:cs="Arial"/>
          <w:b/>
          <w:bCs/>
          <w:sz w:val="28"/>
          <w:szCs w:val="28"/>
          <w:u w:val="single"/>
        </w:rPr>
      </w:pPr>
    </w:p>
    <w:p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rsidR="00A51494" w:rsidRPr="00154B86" w:rsidRDefault="00A51494" w:rsidP="000161F2">
      <w:pPr>
        <w:rPr>
          <w:rFonts w:ascii="Arial" w:hAnsi="Arial" w:cs="Arial"/>
          <w:b/>
          <w:color w:val="632423"/>
        </w:rPr>
      </w:pPr>
    </w:p>
    <w:p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Narrow" w:hAnsi="Arial Narrow" w:cs="Arial"/>
          <w:b/>
        </w:rPr>
      </w:pPr>
      <w:bookmarkStart w:id="4"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4"/>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rsidTr="000161F2">
        <w:tc>
          <w:tcPr>
            <w:tcW w:w="791"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A51494" w:rsidRPr="00154B86" w:rsidRDefault="00A51494" w:rsidP="000161F2">
      <w:pPr>
        <w:ind w:left="360"/>
        <w:rPr>
          <w:rFonts w:ascii="Arial" w:hAnsi="Arial" w:cs="Arial"/>
        </w:rPr>
      </w:pPr>
    </w:p>
    <w:p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474"/>
        </w:trPr>
        <w:tc>
          <w:tcPr>
            <w:tcW w:w="749" w:type="pct"/>
            <w:gridSpan w:val="2"/>
            <w:tcBorders>
              <w:top w:val="nil"/>
              <w:left w:val="nil"/>
              <w:bottom w:val="nil"/>
              <w:right w:val="nil"/>
            </w:tcBorders>
            <w:shd w:val="clear" w:color="auto" w:fill="FFFFFF"/>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rPr>
      </w:pPr>
    </w:p>
    <w:p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96"/>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bottom w:val="nil"/>
            </w:tcBorders>
            <w:shd w:val="clear" w:color="auto" w:fill="auto"/>
          </w:tcPr>
          <w:p w:rsidR="00A51494" w:rsidRDefault="00A51494" w:rsidP="000161F2">
            <w:pPr>
              <w:rPr>
                <w:rFonts w:ascii="Arial" w:hAnsi="Arial" w:cs="Arial"/>
                <w:b/>
                <w:bCs/>
                <w:color w:val="000000"/>
                <w:sz w:val="22"/>
                <w:szCs w:val="22"/>
              </w:rPr>
            </w:pP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rsidTr="000161F2">
        <w:trPr>
          <w:trHeight w:val="437"/>
        </w:trPr>
        <w:tc>
          <w:tcPr>
            <w:tcW w:w="749" w:type="pct"/>
            <w:gridSpan w:val="2"/>
            <w:tcBorders>
              <w:top w:val="nil"/>
              <w:bottom w:val="nil"/>
            </w:tcBorders>
            <w:shd w:val="clear" w:color="auto" w:fill="F2DBDB"/>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80"/>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are located in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rsidR="00A51494" w:rsidRPr="00154B86" w:rsidRDefault="00A51494" w:rsidP="000161F2">
      <w:pPr>
        <w:rPr>
          <w:rFonts w:ascii="Arial" w:hAnsi="Arial" w:cs="Arial"/>
          <w:b/>
          <w:sz w:val="22"/>
          <w:szCs w:val="22"/>
        </w:rPr>
      </w:pPr>
    </w:p>
    <w:p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5000" w:type="pct"/>
            <w:gridSpan w:val="5"/>
            <w:tcBorders>
              <w:left w:val="nil"/>
              <w:right w:val="nil"/>
            </w:tcBorders>
            <w:shd w:val="clear" w:color="auto" w:fill="D3DFEE"/>
          </w:tcPr>
          <w:p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5000" w:type="pct"/>
            <w:gridSpan w:val="5"/>
            <w:shd w:val="clear" w:color="auto" w:fill="auto"/>
          </w:tcPr>
          <w:p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rsidTr="000161F2">
        <w:trPr>
          <w:trHeight w:val="474"/>
        </w:trPr>
        <w:tc>
          <w:tcPr>
            <w:tcW w:w="749" w:type="pct"/>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A51494" w:rsidRDefault="00A51494" w:rsidP="000161F2">
      <w:pPr>
        <w:rPr>
          <w:rFonts w:ascii="Arial" w:hAnsi="Arial" w:cs="Arial"/>
          <w:b/>
        </w:rPr>
      </w:pPr>
    </w:p>
    <w:p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B7B54" w:rsidRDefault="00AB7B54" w:rsidP="002A7246"/>
    <w:sectPr w:rsidR="00AB7B54" w:rsidSect="00A51494">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34" w:rsidRDefault="007B4534">
      <w:r>
        <w:separator/>
      </w:r>
    </w:p>
  </w:endnote>
  <w:endnote w:type="continuationSeparator" w:id="0">
    <w:p w:rsidR="007B4534" w:rsidRDefault="007B4534">
      <w:r>
        <w:continuationSeparator/>
      </w:r>
    </w:p>
  </w:endnote>
  <w:endnote w:type="continuationNotice" w:id="1">
    <w:p w:rsidR="007B4534" w:rsidRDefault="007B4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AD" w:rsidRDefault="005C04AD" w:rsidP="002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34" w:rsidRDefault="007B4534">
      <w:r>
        <w:separator/>
      </w:r>
    </w:p>
  </w:footnote>
  <w:footnote w:type="continuationSeparator" w:id="0">
    <w:p w:rsidR="007B4534" w:rsidRDefault="007B4534">
      <w:r>
        <w:continuationSeparator/>
      </w:r>
    </w:p>
  </w:footnote>
  <w:footnote w:type="continuationNotice" w:id="1">
    <w:p w:rsidR="007B4534" w:rsidRDefault="007B4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4534"/>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00D5"/>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5407B"/>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fdny/downloads/pdf/business/public-buildings-web-inspec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12.nysed.gov/facplan/FireSafety/fire_safety_report_homepag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54CE-A5C9-40F0-9D62-06FE0ED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3165</Words>
  <Characters>20744</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23862</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Lori Genito</cp:lastModifiedBy>
  <cp:revision>2</cp:revision>
  <cp:lastPrinted>2017-07-13T19:10:00Z</cp:lastPrinted>
  <dcterms:created xsi:type="dcterms:W3CDTF">2019-11-12T17:27:00Z</dcterms:created>
  <dcterms:modified xsi:type="dcterms:W3CDTF">2019-11-12T17:27:00Z</dcterms:modified>
</cp:coreProperties>
</file>